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GFNCI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16,219,322.00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16,219,322.00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16,219,322.00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273,442,494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April 27, 2026 (according to the issuer's prospectus as filed with the Securities and Exchange Commission on April 27, 2026). Except as described in the preceding sentence, all Shares for the holdings of the reporting persons reported in this Schedule 13G are as of the opening of the market on May 4,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XERC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16,219,322.00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16,219,322.00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16,219,322.00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020"/>
          </w:cols>
          <w:pgMar w:left="320" w:top="102" w:right="559" w:bottom="0" w:gutter="0" w:footer="0" w:header="0"/>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1"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2,198,811.00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2,198,811.00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2,198,811.00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00" w:h="16871"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right"/>
        <w:ind w:right="6359"/>
        <w:spacing w:after="0"/>
        <w:rPr>
          <w:sz w:val="20"/>
          <w:szCs w:val="20"/>
          <w:color w:val="auto"/>
        </w:rPr>
      </w:pPr>
      <w:r>
        <w:rPr>
          <w:rFonts w:ascii="Times New Roman" w:cs="Times New Roman" w:eastAsia="Times New Roman" w:hAnsi="Times New Roman"/>
          <w:sz w:val="22"/>
          <w:szCs w:val="22"/>
          <w:color w:val="auto"/>
        </w:rPr>
        <w:t>Citadel Advisors Holdings LP</w:t>
      </w:r>
    </w:p>
    <w:p>
      <w:pPr>
        <w:sectPr>
          <w:pgSz w:w="11900" w:h="16871" w:orient="portrait"/>
          <w:cols w:equalWidth="0" w:num="1">
            <w:col w:w="10099"/>
          </w:cols>
          <w:pgMar w:left="360" w:top="612"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2,198,811.00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2,198,811.00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2,198,811.00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2,198,811.00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2,198,811.00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2,198,811.00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139,868.00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139,868.00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139,868.00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139,868.00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139,868.00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139,868.00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89"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70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139,868.00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7700" w:type="dxa"/>
            <w:vAlign w:val="bottom"/>
          </w:tcPr>
          <w:p>
            <w:pPr>
              <w:ind w:left="160"/>
              <w:spacing w:after="0" w:line="485"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139,868.00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139,868.00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HC, 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18,558,001.00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18,558,001.00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18,558,001.00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spacing w:after="0" w:line="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530 Gaither Road, Suite 700, Rockville, MD 20850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This Schedule 13G is being jointly filed by GFNCI LLC ("GFNCI"), XERC Holdings LLC ("XERC Holdings"), Citadel Advisors LLC ("Citadel Advisors"), Citadel Advisors Holdings LP ("CAH"), Citadel GP LLC ("CGP"), Citadel Securities LLC ("Citadel Securities"), Citadel Securities Group LP ("CALC4"), Citadel Securities GP LLC ("CSGP") and Mr. Kenneth Griffin (collectively with GFNCI, XERC Holdings, Citadel Advisors, CAH, CGP, Citadel Securities, CALC4 and CSGP, the "Reporting Persons") with respect to the Shares of the above-named issuer owned</w:t>
      </w:r>
    </w:p>
    <w:p>
      <w:pPr>
        <w:spacing w:after="0" w:line="1" w:lineRule="exact"/>
        <w:rPr>
          <w:sz w:val="20"/>
          <w:szCs w:val="20"/>
          <w:color w:val="auto"/>
        </w:rPr>
      </w:pPr>
    </w:p>
    <w:p>
      <w:pPr>
        <w:ind w:left="920" w:right="18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XERC Holdings, Citadel Multi-Strategy Equities Master Fund Ltd., a Cayman Islands company ("CM"), and Citadel Securities. Such owned Shares may include other instruments exercisable for or convertible into Shares. GFNCI is the sole member of XERC Holdings. 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GFNCI, CGP and CSGP. The filing of this statement shall not be construed as an admission that any of the Reporting Persons is the beneficial owner of any securities covered by the statement other than the securities actually owned by such person (if any).</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GFNCI and XERC Holdings is Southeast Financial Center, 200 S. Biscayne Blvd., Suite 3300, Miami, Florida 33131. The address of Citadel Advisors, CAH, CGP, Citadel Securities, CALC4, CSGP and Mr. Griffin is 830 Brickell Plaza, 15th Floor, Miami, Florida 33131.</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48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GFNCI, XERC Holdings, Citadel Advisors, CGP, Citadel Securities and CSGP is organized as a limited liability company under the laws of the State of Delaware. Each of CALC4 and CAH is organized as a limited partnership under the laws of the State of Delaware. Mr. Griffin is a U.S. citizen.</w:t>
      </w:r>
    </w:p>
    <w:p>
      <w:pPr>
        <w:sectPr>
          <w:pgSz w:w="11900" w:h="16887" w:orient="portrait"/>
          <w:cols w:equalWidth="0" w:num="1">
            <w:col w:w="11120"/>
          </w:cols>
          <w:pgMar w:left="360" w:top="355" w:right="4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 (the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87" w:orient="portrait"/>
          <w:cols w:equalWidth="0" w:num="2">
            <w:col w:w="620" w:space="300"/>
            <w:col w:w="10200"/>
          </w:cols>
          <w:pgMar w:left="360" w:top="355" w:right="41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87" w:orient="portrait"/>
          <w:cols w:equalWidth="0" w:num="1">
            <w:col w:w="11120"/>
          </w:cols>
          <w:pgMar w:left="360" w:top="355" w:right="419" w:bottom="0" w:gutter="0" w:footer="0" w:header="0"/>
          <w:type w:val="continuous"/>
        </w:sectPr>
      </w:pPr>
    </w:p>
    <w:bookmarkStart w:id="8" w:name="page9"/>
    <w:bookmarkEnd w:id="8"/>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1140" w:hanging="214"/>
        <w:spacing w:after="0"/>
        <w:tabs>
          <w:tab w:leader="none" w:pos="11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GFNCI LLC may be deemed to beneficially own 16,219,322 Shares. 2. XERC Holdings LLC may be deemed to</w:t>
      </w:r>
    </w:p>
    <w:p>
      <w:pPr>
        <w:spacing w:after="0" w:line="14" w:lineRule="exact"/>
        <w:rPr>
          <w:rFonts w:ascii="Times New Roman" w:cs="Times New Roman" w:eastAsia="Times New Roman" w:hAnsi="Times New Roman"/>
          <w:sz w:val="22"/>
          <w:szCs w:val="22"/>
          <w:color w:val="auto"/>
        </w:rPr>
      </w:pPr>
    </w:p>
    <w:p>
      <w:pPr>
        <w:ind w:left="920" w:right="6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 16,219,322 Shares. 3. Each of Citadel Advisors LLC, Citadel Advisors Holdings LP and Citadel GP LLC may be deemed to beneficially own 2,198,811 Shares. 4. Citadel Securities LLC may be deemed to beneficially own 139,868 Shares. 5. Each of Citadel Securities Group LP and Citadel Securities GP LLC may be deemed to beneficially own 139,868 Shares. 6. Mr. Griffin may be deemed to beneficially own 18,558,001 Shares.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40" w:firstLine="6"/>
        <w:spacing w:after="0" w:line="253" w:lineRule="auto"/>
        <w:tabs>
          <w:tab w:leader="none" w:pos="1136"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GFNCI LLC may be deemed to beneficially own constitutes 5.9% of the Shares outstanding. 2. The number of Shares that XERC Holdings LLC may be deemed to beneficially own constitutes 5.9%</w:t>
      </w:r>
    </w:p>
    <w:p>
      <w:pPr>
        <w:ind w:left="920" w:right="40" w:hanging="912"/>
        <w:spacing w:after="0" w:line="181"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of the Shares outstanding. 3. The number of Shares that each of Citadel Advisors LLC, Citadel Advisors Holdings LP and Citadel GP LLC may be deemed to beneficially own constitutes 0.8% of the Shares outstanding. 4. The number of Shares that Citadel Securities LLC may be deemed to beneficially own constitutes 0.1% of the Shares outstanding.</w:t>
      </w:r>
    </w:p>
    <w:p>
      <w:pPr>
        <w:ind w:left="920" w:firstLine="6"/>
        <w:spacing w:after="0" w:line="235" w:lineRule="auto"/>
        <w:tabs>
          <w:tab w:leader="none" w:pos="113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that each of Citadel Securities Group LP and Citadel Securities GP LLC may be deemed to beneficially own constitutes 0.1% of the Shares outstanding. 6. The number of Shares that Mr. Griffin may be deemed to beneficially own constitutes 6.8% of the Shares outstanding.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54" w:orient="portrait"/>
          <w:cols w:equalWidth="0" w:num="1">
            <w:col w:w="11140"/>
          </w:cols>
          <w:pgMar w:left="360" w:top="15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00" w:firstLine="6"/>
        <w:spacing w:after="0" w:line="244" w:lineRule="auto"/>
        <w:tabs>
          <w:tab w:leader="none" w:pos="21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GFNCI LLC: 0 2. XERC Holdings LLC: 0 3. Each of Citadel Advisors LLC, Citadel Advisors Holdings LP and Citadel GP LLC: 0 4. Citadel Securities LLC: 0 5. Each of Citadel Securities Group LP and Citadel Securities GP LLC: 0 6. Mr. Griffin: 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both"/>
        <w:ind w:right="80" w:firstLine="6"/>
        <w:spacing w:after="0" w:line="244" w:lineRule="auto"/>
        <w:tabs>
          <w:tab w:leader="none" w:pos="21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GFNCI LLC: 16,219,322 2. XERC Holdings LLC: 16,219,322 3. Each of Citadel Advisors LLC, Citadel Advisors Holdings LP and Citadel GP LLC: 2,198,811 4. Citadel Securities LLC: 139,868 5. Each of Citadel Securities Group LP and Citadel Securities GP LLC: 139,868 6. Mr. Griffin: 18,558,001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00" w:firstLine="6"/>
        <w:spacing w:after="0" w:line="244" w:lineRule="auto"/>
        <w:tabs>
          <w:tab w:leader="none" w:pos="21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GFNCI LLC: 0 2. XERC Holdings LLC: 0 3. Each of Citadel Advisors LLC, Citadel Advisors Holdings LP and Citadel GP LLC: 0 4. Citadel Securities LLC: 0 5. Each of Citadel Securities Group LP and Citadel Securities GP LLC: 0 6. Mr. Griffin: 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right="80" w:firstLine="6"/>
        <w:spacing w:after="0" w:line="244" w:lineRule="auto"/>
        <w:tabs>
          <w:tab w:leader="none" w:pos="2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GFNCI LLC: 16,219,322 2. XERC Holdings LLC: 16,219,322 3. Each of Citadel Advisors LLC, Citadel Advisors Holdings LP and Citadel GP LLC: 2,198,811 4. Citadel Securities LLC: 139,868 5. Each of Citadel Securities Group LP and Citadel Securities GP LLC: 139,868 6. Mr. Griffin: 18,558,001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54" w:orient="portrait"/>
          <w:cols w:equalWidth="0" w:num="2">
            <w:col w:w="720" w:space="200"/>
            <w:col w:w="10220"/>
          </w:cols>
          <w:pgMar w:left="360" w:top="153"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54" w:orient="portrait"/>
          <w:cols w:equalWidth="0" w:num="1">
            <w:col w:w="11140"/>
          </w:cols>
          <w:pgMar w:left="360" w:top="153" w:right="399" w:bottom="0" w:gutter="0" w:footer="0" w:header="0"/>
          <w:type w:val="continuous"/>
        </w:sectPr>
      </w:pPr>
    </w:p>
    <w:bookmarkStart w:id="9" w:name="page10"/>
    <w:bookmarkEnd w:id="9"/>
    <w:p>
      <w:pPr>
        <w:ind w:left="1340"/>
        <w:spacing w:after="0"/>
        <w:rPr>
          <w:sz w:val="20"/>
          <w:szCs w:val="20"/>
          <w:color w:val="auto"/>
        </w:rPr>
      </w:pPr>
      <w:r>
        <w:rPr>
          <w:rFonts w:ascii="Times New Roman" w:cs="Times New Roman" w:eastAsia="Times New Roman" w:hAnsi="Times New Roman"/>
          <w:sz w:val="22"/>
          <w:szCs w:val="22"/>
          <w:color w:val="auto"/>
        </w:rPr>
        <w:t>GFNCI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Gerald Beeson</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Gerald Beeson, 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XERC Holdings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Gerald Beeson</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Gerald Beeson, 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4"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020"/>
          </w:cols>
          <w:pgMar w:left="320" w:top="477" w:right="5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May 4, 2026.</w:t>
            </w:r>
          </w:p>
        </w:tc>
        <w:tc>
          <w:tcPr>
            <w:tcW w:w="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GFNCI LLC</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XERC HOLDINGS LLC</w:t>
            </w:r>
          </w:p>
        </w:tc>
        <w:tc>
          <w:tcPr>
            <w:tcW w:w="0" w:type="dxa"/>
            <w:vAlign w:val="bottom"/>
          </w:tcPr>
          <w:p>
            <w:pPr>
              <w:spacing w:after="0"/>
              <w:rPr>
                <w:sz w:val="1"/>
                <w:szCs w:val="1"/>
                <w:color w:val="auto"/>
              </w:rPr>
            </w:pPr>
          </w:p>
        </w:tc>
      </w:tr>
      <w:tr>
        <w:trPr>
          <w:trHeight w:val="45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Gerald Beeson</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Gerald Beeson</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Gerald Beeson, Authorized Signatory</w:t>
            </w:r>
          </w:p>
        </w:tc>
        <w:tc>
          <w:tcPr>
            <w:tcW w:w="820" w:type="dxa"/>
            <w:vAlign w:val="bottom"/>
          </w:tcPr>
          <w:p>
            <w:pPr>
              <w:spacing w:after="0"/>
              <w:rPr>
                <w:sz w:val="19"/>
                <w:szCs w:val="19"/>
                <w:color w:val="auto"/>
              </w:rPr>
            </w:pPr>
          </w:p>
        </w:tc>
        <w:tc>
          <w:tcPr>
            <w:tcW w:w="5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Gerald Beeson, Authorized Signatory</w:t>
            </w:r>
          </w:p>
        </w:tc>
        <w:tc>
          <w:tcPr>
            <w:tcW w:w="0" w:type="dxa"/>
            <w:vAlign w:val="bottom"/>
          </w:tcPr>
          <w:p>
            <w:pPr>
              <w:spacing w:after="0"/>
              <w:rPr>
                <w:sz w:val="1"/>
                <w:szCs w:val="1"/>
                <w:color w:val="auto"/>
              </w:rPr>
            </w:pPr>
          </w:p>
        </w:tc>
      </w:tr>
      <w:tr>
        <w:trPr>
          <w:trHeight w:val="6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c>
          <w:tcPr>
            <w:tcW w:w="0" w:type="dxa"/>
            <w:vAlign w:val="bottom"/>
          </w:tcPr>
          <w:p>
            <w:pPr>
              <w:spacing w:after="0"/>
              <w:rPr>
                <w:sz w:val="1"/>
                <w:szCs w:val="1"/>
                <w:color w:val="auto"/>
              </w:rPr>
            </w:pPr>
          </w:p>
        </w:tc>
      </w:tr>
      <w:tr>
        <w:trPr>
          <w:trHeight w:val="45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6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c>
          <w:tcPr>
            <w:tcW w:w="0" w:type="dxa"/>
            <w:vAlign w:val="bottom"/>
          </w:tcPr>
          <w:p>
            <w:pPr>
              <w:spacing w:after="0"/>
              <w:rPr>
                <w:sz w:val="1"/>
                <w:szCs w:val="1"/>
                <w:color w:val="auto"/>
              </w:rPr>
            </w:pPr>
          </w:p>
        </w:tc>
      </w:tr>
      <w:tr>
        <w:trPr>
          <w:trHeight w:val="45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6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CITADEL GP LLC</w:t>
            </w:r>
          </w:p>
        </w:tc>
        <w:tc>
          <w:tcPr>
            <w:tcW w:w="0" w:type="dxa"/>
            <w:vAlign w:val="bottom"/>
          </w:tcPr>
          <w:p>
            <w:pPr>
              <w:spacing w:after="0"/>
              <w:rPr>
                <w:sz w:val="1"/>
                <w:szCs w:val="1"/>
                <w:color w:val="auto"/>
              </w:rPr>
            </w:pPr>
          </w:p>
        </w:tc>
      </w:tr>
      <w:tr>
        <w:trPr>
          <w:trHeight w:val="45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684"/>
        </w:trPr>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KENNETH GRIFFIN</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7"/>
              </w:rPr>
              <w:t>Seth Levy, attorney-in-fact</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3000" w:type="dxa"/>
            <w:vAlign w:val="bottom"/>
            <w:tcBorders>
              <w:top w:val="single" w:sz="8" w:color="auto"/>
              <w:bottom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5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right="40" w:hanging="332"/>
        <w:spacing w:after="0" w:line="210" w:lineRule="auto"/>
        <w:tabs>
          <w:tab w:leader="none" w:pos="340" w:val="left"/>
        </w:tabs>
        <w:numPr>
          <w:ilvl w:val="0"/>
          <w:numId w:val="18"/>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lvl w:ilvl="1">
      <w:lvlJc w:val="left"/>
      <w:lvlText w:val="%2."/>
      <w:numFmt w:val="decimal"/>
      <w:start w:val="1"/>
    </w:lvl>
  </w:abstractNum>
  <w:abstractNum w:abstractNumId="10">
    <w:nsid w:val="7FDCC233"/>
    <w:multiLevelType w:val="hybridMultilevel"/>
    <w:lvl w:ilvl="0">
      <w:lvlJc w:val="left"/>
      <w:lvlText w:val="(%1)"/>
      <w:numFmt w:val="lowerLetter"/>
      <w:start w:val="1"/>
    </w:lvl>
    <w:lvl w:ilvl="1">
      <w:lvlJc w:val="left"/>
      <w:lvlText w:val="%2."/>
      <w:numFmt w:val="decimal"/>
      <w:start w:val="1"/>
    </w:lvl>
  </w:abstractNum>
  <w:abstractNum w:abstractNumId="11">
    <w:nsid w:val="1BEFD79F"/>
    <w:multiLevelType w:val="hybridMultilevel"/>
    <w:lvl w:ilvl="0">
      <w:lvlJc w:val="left"/>
      <w:lvlText w:val="%1"/>
      <w:numFmt w:val="lowerLetter"/>
      <w:start w:val="1"/>
    </w:lvl>
    <w:lvl w:ilvl="1">
      <w:lvlJc w:val="left"/>
      <w:lvlText w:val="%2."/>
      <w:numFmt w:val="decimal"/>
      <w:start w:val="5"/>
    </w:lvl>
  </w:abstractNum>
  <w:abstractNum w:abstractNumId="12">
    <w:nsid w:val="41A7C4C9"/>
    <w:multiLevelType w:val="hybridMultilevel"/>
    <w:lvl w:ilvl="0">
      <w:lvlJc w:val="left"/>
      <w:lvlText w:val="(%1)"/>
      <w:numFmt w:val="lowerLetter"/>
      <w:start w:val="3"/>
    </w:lvl>
    <w:lvl w:ilvl="1">
      <w:lvlJc w:val="left"/>
      <w:lvlText w:val="%2"/>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2026-05-04T16:34:43Z</dcterms:created>
  <dcterms:modified xsi:type="dcterms:W3CDTF">2026-05-04T16:34:43Z</dcterms:modified>
</cp:coreProperties>
</file>